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December 11, 2025</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National Beverage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1-14170</w:t>
            </w:r>
          </w:p>
        </w:tc>
        <w:tc>
          <w:tcPr>
            <w:tcW w:w="5500" w:type="dxa"/>
            <w:vAlign w:val="bottom"/>
            <w:tcBorders>
              <w:bottom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color w:val="auto"/>
              </w:rPr>
              <w:t>59-2605822</w:t>
            </w:r>
          </w:p>
        </w:tc>
      </w:tr>
      <w:tr>
        <w:trPr>
          <w:trHeight w:val="227"/>
        </w:trPr>
        <w:tc>
          <w:tcPr>
            <w:tcW w:w="5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 Number)</w:t>
            </w:r>
          </w:p>
        </w:tc>
        <w:tc>
          <w:tcPr>
            <w:tcW w:w="5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4"/>
        </w:trPr>
        <w:tc>
          <w:tcPr>
            <w:tcW w:w="5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8050 SW Tenth Street, Suite 4000</w:t>
            </w:r>
          </w:p>
        </w:tc>
        <w:tc>
          <w:tcPr>
            <w:tcW w:w="5500" w:type="dxa"/>
            <w:vAlign w:val="bottom"/>
          </w:tcPr>
          <w:p>
            <w:pPr>
              <w:spacing w:after="0"/>
              <w:rPr>
                <w:sz w:val="24"/>
                <w:szCs w:val="24"/>
                <w:color w:val="auto"/>
              </w:rPr>
            </w:pPr>
          </w:p>
        </w:tc>
      </w:tr>
      <w:tr>
        <w:trPr>
          <w:trHeight w:val="234"/>
        </w:trPr>
        <w:tc>
          <w:tcPr>
            <w:tcW w:w="5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Fort Lauderdale, Florida</w:t>
            </w:r>
          </w:p>
        </w:tc>
        <w:tc>
          <w:tcPr>
            <w:tcW w:w="5500" w:type="dxa"/>
            <w:vAlign w:val="bottom"/>
            <w:tcBorders>
              <w:bottom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33324</w:t>
            </w:r>
          </w:p>
        </w:tc>
      </w:tr>
      <w:tr>
        <w:trPr>
          <w:trHeight w:val="227"/>
        </w:trPr>
        <w:tc>
          <w:tcPr>
            <w:tcW w:w="5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(954) 581-0922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3"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180" w:type="dxa"/>
            <w:vAlign w:val="bottom"/>
          </w:tcPr>
          <w:p>
            <w:pPr>
              <w:spacing w:after="0"/>
              <w:rPr>
                <w:sz w:val="20"/>
                <w:szCs w:val="20"/>
                <w:color w:val="auto"/>
              </w:rPr>
            </w:pPr>
          </w:p>
        </w:tc>
      </w:tr>
      <w:tr>
        <w:trPr>
          <w:trHeight w:val="390"/>
        </w:trPr>
        <w:tc>
          <w:tcPr>
            <w:tcW w:w="800" w:type="dxa"/>
            <w:vAlign w:val="bottom"/>
          </w:tcPr>
          <w:p>
            <w:pPr>
              <w:spacing w:after="0"/>
              <w:rPr>
                <w:sz w:val="24"/>
                <w:szCs w:val="24"/>
                <w:color w:val="auto"/>
              </w:rPr>
            </w:pPr>
          </w:p>
        </w:tc>
        <w:tc>
          <w:tcPr>
            <w:tcW w:w="2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6"/>
        </w:trPr>
        <w:tc>
          <w:tcPr>
            <w:tcW w:w="3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600" w:type="dxa"/>
            <w:vAlign w:val="bottom"/>
          </w:tcPr>
          <w:p>
            <w:pPr>
              <w:spacing w:after="0"/>
              <w:rPr>
                <w:sz w:val="20"/>
                <w:szCs w:val="20"/>
                <w:color w:val="auto"/>
              </w:rPr>
            </w:pPr>
          </w:p>
        </w:tc>
        <w:tc>
          <w:tcPr>
            <w:tcW w:w="27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color w:val="auto"/>
                <w:w w:val="99"/>
              </w:rPr>
              <w:t>FIZZ</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00" w:lineRule="exact"/>
        <w:rPr>
          <w:sz w:val="24"/>
          <w:szCs w:val="24"/>
          <w:color w:val="auto"/>
        </w:rPr>
      </w:pPr>
    </w:p>
    <w:p>
      <w:pPr>
        <w:spacing w:after="0" w:line="212"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3" w:lineRule="exact"/>
        <w:rPr>
          <w:sz w:val="24"/>
          <w:szCs w:val="24"/>
          <w:color w:val="auto"/>
        </w:rPr>
      </w:pPr>
    </w:p>
    <w:p>
      <w:pPr>
        <w:ind w:left="740" w:hanging="571"/>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3" w:lineRule="exact"/>
        <w:rPr>
          <w:rFonts w:ascii="MS PGothic" w:cs="MS PGothic" w:eastAsia="MS PGothic" w:hAnsi="MS PGothic"/>
          <w:sz w:val="18"/>
          <w:szCs w:val="18"/>
          <w:color w:val="auto"/>
        </w:rPr>
      </w:pPr>
    </w:p>
    <w:p>
      <w:pPr>
        <w:ind w:left="740" w:hanging="571"/>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3" w:lineRule="exact"/>
        <w:rPr>
          <w:rFonts w:ascii="MS PGothic" w:cs="MS PGothic" w:eastAsia="MS PGothic" w:hAnsi="MS PGothic"/>
          <w:sz w:val="18"/>
          <w:szCs w:val="18"/>
          <w:color w:val="auto"/>
        </w:rPr>
      </w:pPr>
    </w:p>
    <w:p>
      <w:pPr>
        <w:ind w:left="740" w:hanging="571"/>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3" w:lineRule="exact"/>
        <w:rPr>
          <w:rFonts w:ascii="MS PGothic" w:cs="MS PGothic" w:eastAsia="MS PGothic" w:hAnsi="MS PGothic"/>
          <w:sz w:val="18"/>
          <w:szCs w:val="18"/>
          <w:color w:val="auto"/>
        </w:rPr>
      </w:pPr>
    </w:p>
    <w:p>
      <w:pPr>
        <w:ind w:left="740" w:hanging="571"/>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3" w:lineRule="exact"/>
        <w:rPr>
          <w:sz w:val="24"/>
          <w:szCs w:val="24"/>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On December 11, 2025, National Beverage Corp. (the “Company”) issued a press release announcing financial results for the periods ended November 1, 2025. The information in Item 2.02 of this report,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(d)Exhibit 99.1</w:t>
      </w:r>
      <w:r>
        <w:rPr>
          <w:sz w:val="20"/>
          <w:szCs w:val="20"/>
          <w:color w:val="auto"/>
        </w:rPr>
        <w:tab/>
      </w:r>
      <w:r>
        <w:rPr>
          <w:rFonts w:ascii="Times New Roman" w:cs="Times New Roman" w:eastAsia="Times New Roman" w:hAnsi="Times New Roman"/>
          <w:sz w:val="17"/>
          <w:szCs w:val="17"/>
          <w:u w:val="single" w:color="auto"/>
          <w:color w:val="0000EE"/>
        </w:rPr>
        <w:t>Press release dated December 11, 2025 announcing the Company’s financial results for the periods ended November 1, 2025.</w:t>
      </w:r>
    </w:p>
    <w:p>
      <w:pPr>
        <w:spacing w:after="0" w:line="223"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National Beverage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17"/>
                <w:szCs w:val="17"/>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/s/ George R. Bracken</w:t>
            </w:r>
          </w:p>
        </w:tc>
        <w:tc>
          <w:tcPr>
            <w:tcW w:w="860" w:type="dxa"/>
            <w:vAlign w:val="bottom"/>
          </w:tcPr>
          <w:p>
            <w:pPr>
              <w:spacing w:after="0"/>
              <w:rPr>
                <w:sz w:val="17"/>
                <w:szCs w:val="17"/>
                <w:color w:val="auto"/>
              </w:rPr>
            </w:pPr>
          </w:p>
        </w:tc>
      </w:tr>
      <w:tr>
        <w:trPr>
          <w:trHeight w:val="217"/>
        </w:trPr>
        <w:tc>
          <w:tcPr>
            <w:tcW w:w="420" w:type="dxa"/>
            <w:vAlign w:val="bottom"/>
          </w:tcPr>
          <w:p>
            <w:pPr>
              <w:spacing w:after="0"/>
              <w:rPr>
                <w:sz w:val="18"/>
                <w:szCs w:val="18"/>
                <w:color w:val="auto"/>
              </w:rPr>
            </w:pPr>
          </w:p>
        </w:tc>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George R. Bracken</w:t>
            </w:r>
          </w:p>
        </w:tc>
      </w:tr>
      <w:tr>
        <w:trPr>
          <w:trHeight w:val="215"/>
        </w:trPr>
        <w:tc>
          <w:tcPr>
            <w:tcW w:w="420" w:type="dxa"/>
            <w:vAlign w:val="bottom"/>
          </w:tcPr>
          <w:p>
            <w:pPr>
              <w:spacing w:after="0"/>
              <w:rPr>
                <w:sz w:val="18"/>
                <w:szCs w:val="18"/>
                <w:color w:val="auto"/>
              </w:rPr>
            </w:pPr>
          </w:p>
        </w:tc>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Executive Vice President – Finance</w:t>
            </w:r>
          </w:p>
        </w:tc>
      </w:tr>
      <w:tr>
        <w:trPr>
          <w:trHeight w:val="234"/>
        </w:trPr>
        <w:tc>
          <w:tcPr>
            <w:tcW w:w="420" w:type="dxa"/>
            <w:vAlign w:val="bottom"/>
          </w:tcPr>
          <w:p>
            <w:pPr>
              <w:spacing w:after="0"/>
              <w:rPr>
                <w:sz w:val="20"/>
                <w:szCs w:val="20"/>
                <w:color w:val="auto"/>
              </w:rPr>
            </w:pPr>
          </w:p>
        </w:tc>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2025</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11, 2025 announcing the Company’s financial results for the periods ended November 1, 2025.</w:t>
      </w:r>
    </w:p>
    <w:p>
      <w:pPr>
        <w:spacing w:after="0" w:line="2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1160"/>
          </w:cols>
          <w:pgMar w:left="320" w:top="575" w:right="4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95820" cy="1853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5820" cy="185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line="280" w:lineRule="auto"/>
        <w:rPr>
          <w:sz w:val="20"/>
          <w:szCs w:val="20"/>
          <w:color w:val="auto"/>
        </w:rPr>
      </w:pPr>
      <w:r>
        <w:rPr>
          <w:rFonts w:ascii="Times New Roman" w:cs="Times New Roman" w:eastAsia="Times New Roman" w:hAnsi="Times New Roman"/>
          <w:sz w:val="20"/>
          <w:szCs w:val="20"/>
          <w:b w:val="1"/>
          <w:bCs w:val="1"/>
          <w:color w:val="auto"/>
        </w:rPr>
        <w:t>NATIONAL BEVERAGE CORP. SECOND QUARTER RESULTS UNDERSCORE RESILIENCE AND COMMITMENT TO MAXIMIZE SHAREHOLDER PERFORMANCE</w:t>
      </w:r>
    </w:p>
    <w:p>
      <w:pPr>
        <w:spacing w:after="0" w:line="1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b w:val="1"/>
          <w:bCs w:val="1"/>
          <w:color w:val="auto"/>
        </w:rPr>
        <w:t>FORT LAUDERDALE, FL, December 11, 2025 . . . National Beverage Corp. (NASDAQ: FIZZ) today announced results for its second quarter ended November 1, 2025.</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the three months:</w:t>
      </w:r>
    </w:p>
    <w:p>
      <w:pPr>
        <w:spacing w:after="0" w:line="204" w:lineRule="exact"/>
        <w:rPr>
          <w:sz w:val="20"/>
          <w:szCs w:val="20"/>
          <w:color w:val="auto"/>
        </w:rPr>
      </w:pPr>
    </w:p>
    <w:p>
      <w:pPr>
        <w:ind w:left="740" w:hanging="329"/>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Net sales were $288 million;</w:t>
      </w:r>
    </w:p>
    <w:p>
      <w:pPr>
        <w:spacing w:after="0" w:line="204" w:lineRule="exact"/>
        <w:rPr>
          <w:rFonts w:ascii="Times New Roman" w:cs="Times New Roman" w:eastAsia="Times New Roman" w:hAnsi="Times New Roman"/>
          <w:sz w:val="18"/>
          <w:szCs w:val="18"/>
          <w:color w:val="auto"/>
        </w:rPr>
      </w:pPr>
    </w:p>
    <w:p>
      <w:pPr>
        <w:ind w:left="740" w:hanging="329"/>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Operating income increased to $58 million; and</w:t>
      </w:r>
    </w:p>
    <w:p>
      <w:pPr>
        <w:spacing w:after="0" w:line="204" w:lineRule="exact"/>
        <w:rPr>
          <w:rFonts w:ascii="Times New Roman" w:cs="Times New Roman" w:eastAsia="Times New Roman" w:hAnsi="Times New Roman"/>
          <w:sz w:val="18"/>
          <w:szCs w:val="18"/>
          <w:color w:val="auto"/>
        </w:rPr>
      </w:pPr>
    </w:p>
    <w:p>
      <w:pPr>
        <w:ind w:left="740" w:hanging="329"/>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Basic earnings per share increased to $.50.</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the trailing twelve months:</w:t>
      </w:r>
    </w:p>
    <w:p>
      <w:pPr>
        <w:spacing w:after="0" w:line="204" w:lineRule="exact"/>
        <w:rPr>
          <w:sz w:val="20"/>
          <w:szCs w:val="20"/>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Net sales increased to $1.2 billion;</w:t>
      </w:r>
    </w:p>
    <w:p>
      <w:pPr>
        <w:spacing w:after="0" w:line="20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EBITDA* increased 63 basis points to $258 million;</w:t>
      </w:r>
    </w:p>
    <w:p>
      <w:pPr>
        <w:spacing w:after="0" w:line="20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Earnings per share were $1.99; and</w:t>
      </w:r>
    </w:p>
    <w:p>
      <w:pPr>
        <w:spacing w:after="0" w:line="20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Cash increased $156 million to $269 million.</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“Second quarter results reflect the broader economic environment that many consumer-facing companies are navigating today. Ongoing inflation, elevated commodity costs, the continued impact of tariffs and the recent federal government shutdown have influenced purchasing behavior across the industry, with consumers becoming more cautious in their spending. While these external factors contributed to a modest decline in net sales, price/mix improvements resulted in increases in operating profit and net income, demonstrating the underlying strength and resilience of our business model,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stated a company spokesperson.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19685</wp:posOffset>
            </wp:positionV>
            <wp:extent cx="5219065" cy="913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9065" cy="91376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413385</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t>National Beverage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0" w:lineRule="exact"/>
        <w:rPr>
          <w:sz w:val="20"/>
          <w:szCs w:val="20"/>
          <w:color w:val="auto"/>
        </w:rPr>
      </w:pPr>
    </w:p>
    <w:p>
      <w:pPr>
        <w:spacing w:after="0" w:line="2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“Importantly, our fundamentals remain strong and the elements of our business model remain resilient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unique brands positioned to leverage long-term health and wellness trends; long-standing relationships with major US retailers; exceptional consumer loyalty and an entrepreneurial management team noted for creativity and innovation. We have delivered excellent results for 40 years with a compounded annual return to shareholders of over 13%. During the second quarter, we repurchased 20,000 FIZZ shares prior to the start of our quarterly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blackout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period. As stated in our October 30</w:t>
      </w:r>
      <w:r>
        <w:rPr>
          <w:rFonts w:ascii="Times New Roman" w:cs="Times New Roman" w:eastAsia="Times New Roman" w:hAnsi="Times New Roman"/>
          <w:sz w:val="17"/>
          <w:szCs w:val="17"/>
          <w:b w:val="1"/>
          <w:bCs w:val="1"/>
          <w:color w:val="auto"/>
        </w:rPr>
        <w:t>th</w:t>
      </w:r>
      <w:r>
        <w:rPr>
          <w:rFonts w:ascii="Times New Roman" w:cs="Times New Roman" w:eastAsia="Times New Roman" w:hAnsi="Times New Roman"/>
          <w:sz w:val="22"/>
          <w:szCs w:val="22"/>
          <w:b w:val="1"/>
          <w:bCs w:val="1"/>
          <w:color w:val="auto"/>
        </w:rPr>
        <w:t xml:space="preserve"> announcement of the stock buyback program,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Our company remains fundamentally strong and continues to generate superior cash flows.</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“We are excited to introduce our newest LaCroix innovation, </w:t>
      </w:r>
      <w:r>
        <w:rPr>
          <w:rFonts w:ascii="Times New Roman" w:cs="Times New Roman" w:eastAsia="Times New Roman" w:hAnsi="Times New Roman"/>
          <w:sz w:val="22"/>
          <w:szCs w:val="22"/>
          <w:b w:val="1"/>
          <w:bCs w:val="1"/>
          <w:i w:val="1"/>
          <w:iCs w:val="1"/>
          <w:color w:val="auto"/>
        </w:rPr>
        <w:t>Pineapple Coconut</w:t>
      </w:r>
      <w:r>
        <w:rPr>
          <w:rFonts w:ascii="Times New Roman" w:cs="Times New Roman" w:eastAsia="Times New Roman" w:hAnsi="Times New Roman"/>
          <w:sz w:val="22"/>
          <w:szCs w:val="22"/>
          <w:b w:val="1"/>
          <w:bCs w:val="1"/>
          <w:color w:val="auto"/>
        </w:rPr>
        <w:t xml:space="preserve">, in early 2026. A radiant fusion of juicy pineapple sparkled with a velvety coconut finish, </w:t>
      </w:r>
      <w:r>
        <w:rPr>
          <w:rFonts w:ascii="Times New Roman" w:cs="Times New Roman" w:eastAsia="Times New Roman" w:hAnsi="Times New Roman"/>
          <w:sz w:val="22"/>
          <w:szCs w:val="22"/>
          <w:b w:val="1"/>
          <w:bCs w:val="1"/>
          <w:i w:val="1"/>
          <w:iCs w:val="1"/>
          <w:color w:val="auto"/>
        </w:rPr>
        <w:t>Pineapple Coconut</w:t>
      </w:r>
      <w:r>
        <w:rPr>
          <w:rFonts w:ascii="Times New Roman" w:cs="Times New Roman" w:eastAsia="Times New Roman" w:hAnsi="Times New Roman"/>
          <w:sz w:val="22"/>
          <w:szCs w:val="22"/>
          <w:b w:val="1"/>
          <w:bCs w:val="1"/>
          <w:color w:val="auto"/>
        </w:rPr>
        <w:t xml:space="preserve"> delivers a sweet balance of flavor that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 .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Harmoniously Combined!</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b w:val="1"/>
          <w:bCs w:val="1"/>
          <w:color w:val="auto"/>
        </w:rPr>
        <w:t>“As we look forward to celebrating our 40</w:t>
      </w:r>
      <w:r>
        <w:rPr>
          <w:rFonts w:ascii="Times New Roman" w:cs="Times New Roman" w:eastAsia="Times New Roman" w:hAnsi="Times New Roman"/>
          <w:sz w:val="17"/>
          <w:szCs w:val="17"/>
          <w:b w:val="1"/>
          <w:bCs w:val="1"/>
          <w:color w:val="auto"/>
        </w:rPr>
        <w:t>th</w:t>
      </w:r>
      <w:r>
        <w:rPr>
          <w:rFonts w:ascii="Times New Roman" w:cs="Times New Roman" w:eastAsia="Times New Roman" w:hAnsi="Times New Roman"/>
          <w:sz w:val="22"/>
          <w:szCs w:val="22"/>
          <w:b w:val="1"/>
          <w:bCs w:val="1"/>
          <w:color w:val="auto"/>
        </w:rPr>
        <w:t xml:space="preserve"> Christmas together as National Beverage Corp., we wish heartfelt blessings of peace and joy to </w:t>
      </w:r>
      <w:r>
        <w:rPr>
          <w:rFonts w:ascii="Times New Roman" w:cs="Times New Roman" w:eastAsia="Times New Roman" w:hAnsi="Times New Roman"/>
          <w:sz w:val="22"/>
          <w:szCs w:val="22"/>
          <w:b w:val="1"/>
          <w:bCs w:val="1"/>
          <w:u w:val="single" w:color="auto"/>
          <w:color w:val="auto"/>
        </w:rPr>
        <w:t>all</w:t>
      </w:r>
      <w:r>
        <w:rPr>
          <w:rFonts w:ascii="Times New Roman" w:cs="Times New Roman" w:eastAsia="Times New Roman" w:hAnsi="Times New Roman"/>
          <w:sz w:val="22"/>
          <w:szCs w:val="22"/>
          <w:b w:val="1"/>
          <w:bCs w:val="1"/>
          <w:color w:val="auto"/>
        </w:rPr>
        <w:t xml:space="preserve"> this special holiday season,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concluded the spokesperson.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255270</wp:posOffset>
            </wp:positionV>
            <wp:extent cx="4467860" cy="258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6786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“Patriotism</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 xml:space="preserve"> If Only We Could Bottle It!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156210</wp:posOffset>
            </wp:positionV>
            <wp:extent cx="5219065" cy="913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9065" cy="91376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413385</wp:posOffset>
            </wp:positionV>
            <wp:extent cx="7132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8255"/>
                    </a:xfrm>
                    <a:prstGeom prst="rect">
                      <a:avLst/>
                    </a:prstGeom>
                    <a:noFill/>
                  </pic:spPr>
                </pic:pic>
              </a:graphicData>
            </a:graphic>
          </wp:anchor>
        </w:drawing>
        <w:t>National Beverage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National Beverage Corp.</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Consolidated Results for the Periods Ended</w:t>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November 1, 2025 and October 26, 2024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18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Trailing Twelve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Fiscal Months Ended</w:t>
            </w: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26, 2024</w:t>
            </w:r>
          </w:p>
        </w:tc>
        <w:tc>
          <w:tcPr>
            <w:tcW w:w="220" w:type="dxa"/>
            <w:vAlign w:val="bottom"/>
          </w:tcPr>
          <w:p>
            <w:pPr>
              <w:spacing w:after="0"/>
              <w:rPr>
                <w:sz w:val="19"/>
                <w:szCs w:val="19"/>
                <w:color w:val="auto"/>
              </w:rPr>
            </w:pPr>
          </w:p>
        </w:tc>
        <w:tc>
          <w:tcPr>
            <w:tcW w:w="1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November 1, 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90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288,331</w:t>
            </w:r>
          </w:p>
        </w:tc>
        <w:tc>
          <w:tcPr>
            <w:tcW w:w="60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291,202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1,199,525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90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46,364</w:t>
            </w:r>
          </w:p>
        </w:tc>
        <w:tc>
          <w:tcPr>
            <w:tcW w:w="60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45,637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186,528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9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w:t>
            </w:r>
          </w:p>
        </w:tc>
        <w:tc>
          <w:tcPr>
            <w:tcW w:w="60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bottom w:val="single" w:sz="8" w:color="CCEEFF"/>
            </w:tcBorders>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6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.49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1.99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Common Shares Outstanding</w:t>
            </w:r>
          </w:p>
        </w:tc>
        <w:tc>
          <w:tcPr>
            <w:tcW w:w="2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93,623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93,613</w:t>
            </w:r>
          </w:p>
        </w:tc>
        <w:tc>
          <w:tcPr>
            <w:tcW w:w="10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93,620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bottom w:val="single" w:sz="8" w:color="CCEEFF"/>
            </w:tcBorders>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6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93,684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93,686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93,692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20" w:firstLine="8"/>
        <w:spacing w:after="0" w:line="279" w:lineRule="auto"/>
        <w:tabs>
          <w:tab w:leader="none" w:pos="13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Company reports its financial results in accordance with accounting principles generally accepted in the United States ("GAAP"), management believes that the disclosure of EBITDA, a non-GAAP financial measure, may provide users of this financial information with additional insights into the operating performance of the business. EBITDA (in millions) for the trailing twelve months ended November 1, 2025 is calculated by adding Depreciation and Amortization of $21.3 and Provision for Income Taxes of $58.3 to Net Income and subtracting Net Interest Income of $8.2.</w:t>
      </w:r>
    </w:p>
    <w:p>
      <w:pPr>
        <w:spacing w:after="0" w:line="38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Forward-looking statements involve risks, uncertainties and other factors described in the Company's Securities and Exchange Commission filings which may cause actual results or achievements to differ from the results or achievements expressed or implied by such statements. The Company disclaims an obligation to update or announce revisions to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1918335</wp:posOffset>
            </wp:positionH>
            <wp:positionV relativeFrom="paragraph">
              <wp:posOffset>127635</wp:posOffset>
            </wp:positionV>
            <wp:extent cx="5219065" cy="913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9065" cy="913765"/>
                    </a:xfrm>
                    <a:prstGeom prst="rect">
                      <a:avLst/>
                    </a:prstGeom>
                    <a:noFill/>
                  </pic:spPr>
                </pic:pic>
              </a:graphicData>
            </a:graphic>
          </wp:anchor>
        </w:drawing>
      </w:r>
    </w:p>
    <w:sectPr>
      <w:pgSz w:w="11900" w:h="16838" w:orient="portrait"/>
      <w:cols w:equalWidth="0" w:num="1">
        <w:col w:w="11240"/>
      </w:cols>
      <w:pgMar w:left="320" w:top="6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2025-12-12T15:38:20Z</dcterms:created>
  <dcterms:modified xsi:type="dcterms:W3CDTF">2025-12-12T15:38:20Z</dcterms:modified>
</cp:coreProperties>
</file>